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59" w:lineRule="auto"/>
        <w:rPr>
          <w:rFonts w:ascii="Century Gothic" w:cs="Century Gothic" w:eastAsia="Century Gothic" w:hAnsi="Century Gothic"/>
          <w:b w:val="1"/>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color w:val="000000"/>
          <w:sz w:val="22"/>
          <w:szCs w:val="22"/>
          <w:rtl w:val="0"/>
        </w:rPr>
        <w:t xml:space="preserve">Warszawa,</w:t>
      </w:r>
      <w:r w:rsidDel="00000000" w:rsidR="00000000" w:rsidRPr="00000000">
        <w:rPr>
          <w:rFonts w:ascii="Century Gothic" w:cs="Century Gothic" w:eastAsia="Century Gothic" w:hAnsi="Century Gothic"/>
          <w:sz w:val="22"/>
          <w:szCs w:val="22"/>
          <w:rtl w:val="0"/>
        </w:rPr>
        <w:t xml:space="preserve"> 12 kwietnia</w:t>
      </w:r>
      <w:r w:rsidDel="00000000" w:rsidR="00000000" w:rsidRPr="00000000">
        <w:rPr>
          <w:rFonts w:ascii="Century Gothic" w:cs="Century Gothic" w:eastAsia="Century Gothic" w:hAnsi="Century Gothic"/>
          <w:color w:val="000000"/>
          <w:sz w:val="22"/>
          <w:szCs w:val="22"/>
          <w:rtl w:val="0"/>
        </w:rPr>
        <w:t xml:space="preserve"> 20</w:t>
      </w:r>
      <w:r w:rsidDel="00000000" w:rsidR="00000000" w:rsidRPr="00000000">
        <w:rPr>
          <w:rFonts w:ascii="Century Gothic" w:cs="Century Gothic" w:eastAsia="Century Gothic" w:hAnsi="Century Gothic"/>
          <w:sz w:val="22"/>
          <w:szCs w:val="22"/>
          <w:rtl w:val="0"/>
        </w:rPr>
        <w:t xml:space="preserve">22</w:t>
      </w:r>
      <w:r w:rsidDel="00000000" w:rsidR="00000000" w:rsidRPr="00000000">
        <w:rPr>
          <w:rtl w:val="0"/>
        </w:rPr>
      </w:r>
    </w:p>
    <w:p w:rsidR="00000000" w:rsidDel="00000000" w:rsidP="00000000" w:rsidRDefault="00000000" w:rsidRPr="00000000" w14:paraId="00000003">
      <w:pPr>
        <w:spacing w:after="240" w:before="240" w:line="276" w:lineRule="auto"/>
        <w:jc w:val="left"/>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w:t>
      </w:r>
    </w:p>
    <w:p w:rsidR="00000000" w:rsidDel="00000000" w:rsidP="00000000" w:rsidRDefault="00000000" w:rsidRPr="00000000" w14:paraId="00000004">
      <w:pPr>
        <w:spacing w:after="240" w:before="240" w:line="276"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Rockwell Automation wprowadza nowe, w pełni konfigurowalne monitory przemysłowe </w:t>
      </w:r>
    </w:p>
    <w:p w:rsidR="00000000" w:rsidDel="00000000" w:rsidP="00000000" w:rsidRDefault="00000000" w:rsidRPr="00000000" w14:paraId="00000005">
      <w:pPr>
        <w:spacing w:after="240" w:before="240" w:line="276"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i w:val="1"/>
          <w:sz w:val="20"/>
          <w:szCs w:val="20"/>
          <w:rtl w:val="0"/>
        </w:rPr>
        <w:t xml:space="preserve">Szeroka gama wariantów i modeli pozwala konstruktorom maszyn na dostosowanie monitorów ASEM</w:t>
      </w:r>
      <w:r w:rsidDel="00000000" w:rsidR="00000000" w:rsidRPr="00000000">
        <w:rPr>
          <w:rFonts w:ascii="Century Gothic" w:cs="Century Gothic" w:eastAsia="Century Gothic" w:hAnsi="Century Gothic"/>
          <w:i w:val="1"/>
          <w:sz w:val="20"/>
          <w:szCs w:val="20"/>
          <w:rtl w:val="0"/>
        </w:rPr>
        <w:t xml:space="preserve">™</w:t>
      </w:r>
      <w:r w:rsidDel="00000000" w:rsidR="00000000" w:rsidRPr="00000000">
        <w:rPr>
          <w:rFonts w:ascii="Century Gothic" w:cs="Century Gothic" w:eastAsia="Century Gothic" w:hAnsi="Century Gothic"/>
          <w:i w:val="1"/>
          <w:sz w:val="20"/>
          <w:szCs w:val="20"/>
          <w:rtl w:val="0"/>
        </w:rPr>
        <w:t xml:space="preserve"> 6300 do różnorodnych zastosowań </w:t>
      </w:r>
      <w:r w:rsidDel="00000000" w:rsidR="00000000" w:rsidRPr="00000000">
        <w:rPr>
          <w:rtl w:val="0"/>
        </w:rPr>
      </w:r>
    </w:p>
    <w:p w:rsidR="00000000" w:rsidDel="00000000" w:rsidP="00000000" w:rsidRDefault="00000000" w:rsidRPr="00000000" w14:paraId="00000006">
      <w:pPr>
        <w:spacing w:after="240" w:before="240"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Rockwell Automation, Inc. (NYSE: ROK), największa na świecie firma zajmująca się automatyką przemysłową oraz transformacją cyfrową, ogłosiła wprowadzenie na rynek nowej linii monitorów przemysłowych, które pomogą konstruktorom maszyn zróżnicować ich maszyny oraz spełnić wymagania szerokiej gamy zastosowań. </w:t>
      </w:r>
    </w:p>
    <w:p w:rsidR="00000000" w:rsidDel="00000000" w:rsidP="00000000" w:rsidRDefault="00000000" w:rsidRPr="00000000" w14:paraId="00000007">
      <w:pPr>
        <w:spacing w:after="240"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Nowe</w:t>
      </w:r>
      <w:hyperlink r:id="rId7">
        <w:r w:rsidDel="00000000" w:rsidR="00000000" w:rsidRPr="00000000">
          <w:rPr>
            <w:rFonts w:ascii="Century Gothic" w:cs="Century Gothic" w:eastAsia="Century Gothic" w:hAnsi="Century Gothic"/>
            <w:sz w:val="20"/>
            <w:szCs w:val="20"/>
            <w:rtl w:val="0"/>
          </w:rPr>
          <w:t xml:space="preserve"> </w:t>
        </w:r>
      </w:hyperlink>
      <w:hyperlink r:id="rId8">
        <w:r w:rsidDel="00000000" w:rsidR="00000000" w:rsidRPr="00000000">
          <w:rPr>
            <w:rFonts w:ascii="Century Gothic" w:cs="Century Gothic" w:eastAsia="Century Gothic" w:hAnsi="Century Gothic"/>
            <w:color w:val="0000ff"/>
            <w:sz w:val="20"/>
            <w:szCs w:val="20"/>
            <w:u w:val="single"/>
            <w:rtl w:val="0"/>
          </w:rPr>
          <w:t xml:space="preserve">monitory przemysłowe Allen-Bradley</w:t>
        </w:r>
      </w:hyperlink>
      <w:hyperlink r:id="rId9">
        <w:r w:rsidDel="00000000" w:rsidR="00000000" w:rsidRPr="00000000">
          <w:rPr>
            <w:rFonts w:ascii="Century Gothic" w:cs="Century Gothic" w:eastAsia="Century Gothic" w:hAnsi="Century Gothic"/>
            <w:color w:val="0000ff"/>
            <w:sz w:val="20"/>
            <w:szCs w:val="20"/>
            <w:u w:val="single"/>
            <w:vertAlign w:val="superscript"/>
            <w:rtl w:val="0"/>
          </w:rPr>
          <w:t xml:space="preserve">®</w:t>
        </w:r>
      </w:hyperlink>
      <w:hyperlink r:id="rId10">
        <w:r w:rsidDel="00000000" w:rsidR="00000000" w:rsidRPr="00000000">
          <w:rPr>
            <w:rFonts w:ascii="Century Gothic" w:cs="Century Gothic" w:eastAsia="Century Gothic" w:hAnsi="Century Gothic"/>
            <w:color w:val="0000ff"/>
            <w:sz w:val="20"/>
            <w:szCs w:val="20"/>
            <w:u w:val="single"/>
            <w:rtl w:val="0"/>
          </w:rPr>
          <w:t xml:space="preserve"> ASEM 6300M</w:t>
        </w:r>
      </w:hyperlink>
      <w:r w:rsidDel="00000000" w:rsidR="00000000" w:rsidRPr="00000000">
        <w:rPr>
          <w:rFonts w:ascii="Century Gothic" w:cs="Century Gothic" w:eastAsia="Century Gothic" w:hAnsi="Century Gothic"/>
          <w:sz w:val="20"/>
          <w:szCs w:val="20"/>
          <w:rtl w:val="0"/>
        </w:rPr>
        <w:t xml:space="preserve">, które stanowią część rodziny produktowej znanej wcześniej pod nazwą VersaView</w:t>
      </w:r>
      <w:r w:rsidDel="00000000" w:rsidR="00000000" w:rsidRPr="00000000">
        <w:rPr>
          <w:rFonts w:ascii="Century Gothic" w:cs="Century Gothic" w:eastAsia="Century Gothic" w:hAnsi="Century Gothic"/>
          <w:sz w:val="20"/>
          <w:szCs w:val="20"/>
          <w:vertAlign w:val="superscript"/>
          <w:rtl w:val="0"/>
        </w:rPr>
        <w:t xml:space="preserve">®</w:t>
      </w:r>
      <w:r w:rsidDel="00000000" w:rsidR="00000000" w:rsidRPr="00000000">
        <w:rPr>
          <w:rFonts w:ascii="Century Gothic" w:cs="Century Gothic" w:eastAsia="Century Gothic" w:hAnsi="Century Gothic"/>
          <w:sz w:val="20"/>
          <w:szCs w:val="20"/>
          <w:rtl w:val="0"/>
        </w:rPr>
        <w:t xml:space="preserve"> 6300, dostępne są w kilku wariantach konstrukcyjnych. Warianty te dają znaczną wolność konstruktorom maszyn pod względem dostosowania monitorów do indywidualnych potrzeb na podstawie czynników takich jak koszty, wydajność, wygląd i styl. </w:t>
      </w:r>
    </w:p>
    <w:p w:rsidR="00000000" w:rsidDel="00000000" w:rsidP="00000000" w:rsidRDefault="00000000" w:rsidRPr="00000000" w14:paraId="00000008">
      <w:pPr>
        <w:spacing w:after="240" w:before="240" w:line="276" w:lineRule="auto"/>
        <w:jc w:val="both"/>
        <w:rPr>
          <w:rFonts w:ascii="Arial" w:cs="Arial" w:eastAsia="Arial" w:hAnsi="Arial"/>
          <w:b w:val="1"/>
        </w:rPr>
      </w:pPr>
      <w:r w:rsidDel="00000000" w:rsidR="00000000" w:rsidRPr="00000000">
        <w:rPr>
          <w:rFonts w:ascii="Century Gothic" w:cs="Century Gothic" w:eastAsia="Century Gothic" w:hAnsi="Century Gothic"/>
          <w:b w:val="1"/>
          <w:sz w:val="20"/>
          <w:szCs w:val="20"/>
          <w:rtl w:val="0"/>
        </w:rPr>
        <w:t xml:space="preserve">Kluczowe warianty konstrukcyjne obejmują:</w:t>
      </w:r>
      <w:r w:rsidDel="00000000" w:rsidR="00000000" w:rsidRPr="00000000">
        <w:rPr>
          <w:rtl w:val="0"/>
        </w:rPr>
      </w:r>
    </w:p>
    <w:p w:rsidR="00000000" w:rsidDel="00000000" w:rsidP="00000000" w:rsidRDefault="00000000" w:rsidRPr="00000000" w14:paraId="00000009">
      <w:pPr>
        <w:numPr>
          <w:ilvl w:val="0"/>
          <w:numId w:val="1"/>
        </w:numPr>
        <w:spacing w:after="0" w:afterAutospacing="0" w:before="240" w:line="276" w:lineRule="auto"/>
        <w:ind w:left="720" w:hanging="360"/>
        <w:jc w:val="both"/>
        <w:rPr>
          <w:u w:val="none"/>
        </w:rPr>
      </w:pPr>
      <w:r w:rsidDel="00000000" w:rsidR="00000000" w:rsidRPr="00000000">
        <w:rPr>
          <w:rFonts w:ascii="Century Gothic" w:cs="Century Gothic" w:eastAsia="Century Gothic" w:hAnsi="Century Gothic"/>
          <w:sz w:val="20"/>
          <w:szCs w:val="20"/>
          <w:rtl w:val="0"/>
        </w:rPr>
        <w:t xml:space="preserve">Modele ze stali nierdzewnej, w tym wersje ze stopniem ochrony IP66K oraz IP69K, sprostają potrzebom użytkowników, którzy wymagają wodoodporności.</w:t>
      </w:r>
    </w:p>
    <w:p w:rsidR="00000000" w:rsidDel="00000000" w:rsidP="00000000" w:rsidRDefault="00000000" w:rsidRPr="00000000" w14:paraId="0000000A">
      <w:pPr>
        <w:numPr>
          <w:ilvl w:val="0"/>
          <w:numId w:val="1"/>
        </w:numPr>
        <w:spacing w:after="0" w:afterAutospacing="0" w:before="0" w:beforeAutospacing="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Dostępne są również inne modele, które spełnią różnorodne potrzeby — od ekonomicznych wariantów wykonanych z aluminium po eleganckie, wysokiej klasy monitory z bezramkowym wyświetlaczem.</w:t>
      </w:r>
    </w:p>
    <w:p w:rsidR="00000000" w:rsidDel="00000000" w:rsidP="00000000" w:rsidRDefault="00000000" w:rsidRPr="00000000" w14:paraId="0000000B">
      <w:pPr>
        <w:numPr>
          <w:ilvl w:val="0"/>
          <w:numId w:val="1"/>
        </w:numPr>
        <w:spacing w:after="0" w:afterAutospacing="0" w:before="0" w:beforeAutospacing="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Wyświetlacze jedno i wielodotykowe umożliwiają konstruktorom maszyn dopasowanie monitorów do wybranego oprogramowania lub wymagań eksploatacyjnych danego użytkownika.</w:t>
      </w:r>
    </w:p>
    <w:p w:rsidR="00000000" w:rsidDel="00000000" w:rsidP="00000000" w:rsidRDefault="00000000" w:rsidRPr="00000000" w14:paraId="0000000C">
      <w:pPr>
        <w:numPr>
          <w:ilvl w:val="0"/>
          <w:numId w:val="1"/>
        </w:numPr>
        <w:spacing w:after="0" w:afterAutospacing="0" w:before="0" w:beforeAutospacing="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Rozmiary monitorów mieszczą się w zakresie od 8,4 do 24 cali oraz są dostępne w opcjach standardowych i szeroko ekranowych.</w:t>
      </w:r>
    </w:p>
    <w:p w:rsidR="00000000" w:rsidDel="00000000" w:rsidP="00000000" w:rsidRDefault="00000000" w:rsidRPr="00000000" w14:paraId="0000000D">
      <w:pPr>
        <w:numPr>
          <w:ilvl w:val="0"/>
          <w:numId w:val="1"/>
        </w:numPr>
        <w:spacing w:after="240" w:before="0" w:beforeAutospacing="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Opcja zdalna, która niebawem będzie dostępna, pozwala na umieszczenie monitora w odległości do 100 m od komputera PC, co sprawdzi się w zastosowaniach na długich liniach produkcyjnych.</w:t>
      </w:r>
    </w:p>
    <w:p w:rsidR="00000000" w:rsidDel="00000000" w:rsidP="00000000" w:rsidRDefault="00000000" w:rsidRPr="00000000" w14:paraId="0000000E">
      <w:pPr>
        <w:spacing w:after="240" w:before="240" w:line="276"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„Monitory ASEM 6300 pozwolą konstruktorom maszyn wyróżnić ich ofertę na tle konkurencji zarówno w zakresie wydajności, jak i wyglądu”, </w:t>
      </w:r>
      <w:r w:rsidDel="00000000" w:rsidR="00000000" w:rsidRPr="00000000">
        <w:rPr>
          <w:rFonts w:ascii="Century Gothic" w:cs="Century Gothic" w:eastAsia="Century Gothic" w:hAnsi="Century Gothic"/>
          <w:sz w:val="20"/>
          <w:szCs w:val="20"/>
          <w:rtl w:val="0"/>
        </w:rPr>
        <w:t xml:space="preserve">mówi</w:t>
      </w:r>
      <w:r w:rsidDel="00000000" w:rsidR="00000000" w:rsidRPr="00000000">
        <w:rPr>
          <w:rFonts w:ascii="Century Gothic" w:cs="Century Gothic" w:eastAsia="Century Gothic" w:hAnsi="Century Gothic"/>
          <w:b w:val="1"/>
          <w:sz w:val="20"/>
          <w:szCs w:val="20"/>
          <w:rtl w:val="0"/>
        </w:rPr>
        <w:t xml:space="preserve"> Lindsay Raspanti, menedżerka ds. produktu w Rockwell Automation</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Monitory te można dostosować do szerokiego zakresu różnorodnych </w:t>
      </w:r>
    </w:p>
    <w:p w:rsidR="00000000" w:rsidDel="00000000" w:rsidP="00000000" w:rsidRDefault="00000000" w:rsidRPr="00000000" w14:paraId="0000000F">
      <w:pPr>
        <w:spacing w:after="240" w:before="240" w:line="276"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zastosowań.</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Z połączenia wyświetlaczy o wysokiej rozdzielczości z nowoczesnym wyglądem powstały monitory, które wzbogacą nawet najbardziej wydajne inteligentne maszyny”.</w:t>
      </w:r>
    </w:p>
    <w:p w:rsidR="00000000" w:rsidDel="00000000" w:rsidP="00000000" w:rsidRDefault="00000000" w:rsidRPr="00000000" w14:paraId="00000010">
      <w:pPr>
        <w:spacing w:after="240" w:before="240"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i w:val="1"/>
          <w:sz w:val="20"/>
          <w:szCs w:val="20"/>
          <w:rtl w:val="0"/>
        </w:rPr>
        <w:t xml:space="preserve">Jakie funkcje i możliwości oferują?</w:t>
      </w:r>
      <w:r w:rsidDel="00000000" w:rsidR="00000000" w:rsidRPr="00000000">
        <w:rPr>
          <w:rtl w:val="0"/>
        </w:rPr>
      </w:r>
    </w:p>
    <w:p w:rsidR="00000000" w:rsidDel="00000000" w:rsidP="00000000" w:rsidRDefault="00000000" w:rsidRPr="00000000" w14:paraId="00000011">
      <w:pPr>
        <w:numPr>
          <w:ilvl w:val="0"/>
          <w:numId w:val="2"/>
        </w:numPr>
        <w:spacing w:after="0" w:afterAutospacing="0" w:before="24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Wszystkie monitory ASEM 6300M są wyposażone w wyświetlacze o wysokiej rozdzielczości, aby prezentować kluczowe informacje dotyczące produkcji w sposób czytelny i wyraźny.</w:t>
      </w:r>
    </w:p>
    <w:p w:rsidR="00000000" w:rsidDel="00000000" w:rsidP="00000000" w:rsidRDefault="00000000" w:rsidRPr="00000000" w14:paraId="00000012">
      <w:pPr>
        <w:numPr>
          <w:ilvl w:val="0"/>
          <w:numId w:val="2"/>
        </w:numPr>
        <w:spacing w:after="0" w:afterAutospacing="0" w:before="0" w:beforeAutospacing="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Monitory mogą wyświetlać do czterech kafelków z informacjami na pojedynczym ekranie, co umożliwia operatorom nie tylko zapoznanie się z danymi o wydajności czy instrukcjami  roboczymi, ale także pozwala oglądać filmy w wysokiej rozdzielczości i obrazy z kamer w czasie rzeczywistym.</w:t>
      </w:r>
    </w:p>
    <w:p w:rsidR="00000000" w:rsidDel="00000000" w:rsidP="00000000" w:rsidRDefault="00000000" w:rsidRPr="00000000" w14:paraId="00000013">
      <w:pPr>
        <w:numPr>
          <w:ilvl w:val="0"/>
          <w:numId w:val="2"/>
        </w:numPr>
        <w:spacing w:after="0" w:afterAutospacing="0" w:before="0" w:beforeAutospacing="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Monitory przemysłowe ASEM 6300M w połączeniu z przemysłowymi komputerami PC Allen-Bradley ASEM 6300B pozwalają konstruktorom maszyn zaoszczędzić cenny czas. Te dwa produkty bezproblemowo łączą się i integrują, redukując tym samym czas potrzebny inżynierom na skonfigurowanie monitorów do pracy z komputerami PC.</w:t>
      </w:r>
    </w:p>
    <w:p w:rsidR="00000000" w:rsidDel="00000000" w:rsidP="00000000" w:rsidRDefault="00000000" w:rsidRPr="00000000" w14:paraId="00000014">
      <w:pPr>
        <w:numPr>
          <w:ilvl w:val="0"/>
          <w:numId w:val="2"/>
        </w:numPr>
        <w:spacing w:after="0" w:afterAutospacing="0" w:before="0" w:beforeAutospacing="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Monitory mają również standaryzowane wycięcie umożliwiające łatwą wymianę. Bez względu na to, czy konstruktor maszyn wybierze monitor standardowy czy szerokoekranowy, będzie mógł zmodernizować go do przyszłych wersji bez potrzeby zmiany konstrukcji maszyny.</w:t>
      </w:r>
    </w:p>
    <w:p w:rsidR="00000000" w:rsidDel="00000000" w:rsidP="00000000" w:rsidRDefault="00000000" w:rsidRPr="00000000" w14:paraId="00000015">
      <w:pPr>
        <w:numPr>
          <w:ilvl w:val="0"/>
          <w:numId w:val="2"/>
        </w:numPr>
        <w:spacing w:after="240" w:before="0" w:beforeAutospacing="0" w:line="276"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Podczas opracowywania monitorów przemysłowych ASEM 6300M wykorzystano doświadczenie i technologię firmy ASEM — czołowego dostawcy cyfrowych technologii automatyzacji — którą firma Rockwell Automation przejęła w 2020 r.</w:t>
      </w:r>
    </w:p>
    <w:p w:rsidR="00000000" w:rsidDel="00000000" w:rsidP="00000000" w:rsidRDefault="00000000" w:rsidRPr="00000000" w14:paraId="00000016">
      <w:pPr>
        <w:spacing w:after="240" w:before="240" w:line="276" w:lineRule="auto"/>
        <w:ind w:left="72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O firmie Rockwell Automation</w:t>
      </w:r>
    </w:p>
    <w:p w:rsidR="00000000" w:rsidDel="00000000" w:rsidP="00000000" w:rsidRDefault="00000000" w:rsidRPr="00000000" w14:paraId="00000018">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Rockwell Automation, Inc. (NYSE: ROK), jest światowym liderem w automatyce przemysłowej i transformacji cyfrowej. Łączymy wyobraźnię ludzi z potencjałem technologii, aby rozwijać to, co jest po ludzku możliwe, czyniąc świat bardziej produktywnym i zrównoważonym. Rockwell Automation, z siedzibą w Milwaukee, Wisconsin, zatrudnia około 23 500 osób w ponad 100 krajach. Aby dowiedzieć się więcej o tym, jak wdrażamy koncepcję The Connected Enterprise w różnych przedsiębiorstwach przemysłowych, odwiedź www.rockwellautomation.com.</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Kontakt dla mediów:</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59" w:lineRule="auto"/>
        <w:jc w:val="both"/>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Kinga Jabłonowska – Hieronimczuk</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59" w:lineRule="auto"/>
        <w:jc w:val="both"/>
        <w:rPr>
          <w:rFonts w:ascii="Century Gothic" w:cs="Century Gothic" w:eastAsia="Century Gothic" w:hAnsi="Century Gothic"/>
          <w:color w:val="000000"/>
          <w:sz w:val="18"/>
          <w:szCs w:val="18"/>
        </w:rPr>
      </w:pPr>
      <w:hyperlink r:id="rId11">
        <w:r w:rsidDel="00000000" w:rsidR="00000000" w:rsidRPr="00000000">
          <w:rPr>
            <w:rFonts w:ascii="Century Gothic" w:cs="Century Gothic" w:eastAsia="Century Gothic" w:hAnsi="Century Gothic"/>
            <w:color w:val="000000"/>
            <w:sz w:val="18"/>
            <w:szCs w:val="18"/>
            <w:u w:val="single"/>
            <w:rtl w:val="0"/>
          </w:rPr>
          <w:t xml:space="preserve">kjablonowska@ra.rockwell.com</w:t>
        </w:r>
      </w:hyperlink>
      <w:r w:rsidDel="00000000" w:rsidR="00000000" w:rsidRPr="00000000">
        <w:rPr>
          <w:rtl w:val="0"/>
        </w:rPr>
      </w:r>
    </w:p>
    <w:sectPr>
      <w:headerReference r:id="rId12" w:type="default"/>
      <w:footerReference r:id="rId13" w:type="default"/>
      <w:pgSz w:h="16840" w:w="1190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jc w:val="center"/>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Rockwell Automation Sp. z o.o., ul. Powązkowska 44c, 01-797 Warszawa</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www.rockwellautomation.com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pos="902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drawing>
        <wp:inline distB="0" distT="0" distL="0" distR="0">
          <wp:extent cx="1619250" cy="762000"/>
          <wp:effectExtent b="0" l="0" r="0" t="0"/>
          <wp:docPr id="2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9250" cy="762000"/>
                  </a:xfrm>
                  <a:prstGeom prst="rect"/>
                  <a:ln/>
                </pic:spPr>
              </pic:pic>
            </a:graphicData>
          </a:graphic>
        </wp:inline>
      </w:drawing>
    </w:r>
    <w:r w:rsidDel="00000000" w:rsidR="00000000" w:rsidRPr="00000000">
      <w:rPr>
        <w:rFonts w:ascii="Helvetica Neue" w:cs="Helvetica Neue" w:eastAsia="Helvetica Neue" w:hAnsi="Helvetica Neue"/>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Pr>
      <w:lang w:eastAsia="en-US"/>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Hipercze">
    <w:name w:val="Hyperlink"/>
    <w:rPr>
      <w:u w:val="single"/>
    </w:rPr>
  </w:style>
  <w:style w:type="table" w:styleId="TableNormal1" w:customStyle="1">
    <w:name w:val="Table Normal1"/>
    <w:tblPr>
      <w:tblInd w:w="0.0" w:type="dxa"/>
      <w:tblCellMar>
        <w:top w:w="0.0" w:type="dxa"/>
        <w:left w:w="0.0" w:type="dxa"/>
        <w:bottom w:w="0.0" w:type="dxa"/>
        <w:right w:w="0.0" w:type="dxa"/>
      </w:tblCellMar>
    </w:tblPr>
  </w:style>
  <w:style w:type="paragraph" w:styleId="Zhlavazpat" w:customStyle="1">
    <w:name w:val="Záhlaví a zápatí"/>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Text" w:customStyle="1">
    <w:name w:val="Text"/>
    <w:pPr>
      <w:spacing w:line="259" w:lineRule="auto"/>
    </w:pPr>
    <w:rPr>
      <w:rFonts w:ascii="Calibri" w:cs="Arial Unicode MS" w:hAnsi="Calibri"/>
      <w:color w:val="000000"/>
      <w:u w:color="000000"/>
      <w14:textOutline w14:cap="flat" w14:cmpd="sng" w14:algn="ctr">
        <w14:noFill/>
        <w14:prstDash w14:val="solid"/>
        <w14:bevel/>
      </w14:textOutline>
    </w:rPr>
  </w:style>
  <w:style w:type="character" w:styleId="Odkaz" w:customStyle="1">
    <w:name w:val="Odkaz"/>
    <w:rPr>
      <w:outline w:val="0"/>
      <w:color w:val="0563c1"/>
      <w:u w:color="0563c1" w:val="single"/>
    </w:rPr>
  </w:style>
  <w:style w:type="character" w:styleId="Hyperlink0" w:customStyle="1">
    <w:name w:val="Hyperlink.0"/>
    <w:basedOn w:val="Odkaz"/>
    <w:rPr>
      <w:outline w:val="0"/>
      <w:color w:val="0563c1"/>
      <w:sz w:val="16"/>
      <w:szCs w:val="16"/>
      <w:u w:color="0563c1" w:val="single"/>
    </w:rPr>
  </w:style>
  <w:style w:type="paragraph" w:styleId="Akapitzlist">
    <w:name w:val="List Paragraph"/>
    <w:qFormat w:val="1"/>
    <w:pPr>
      <w:spacing w:line="259" w:lineRule="auto"/>
      <w:ind w:left="720"/>
    </w:pPr>
    <w:rPr>
      <w:rFonts w:ascii="Calibri" w:cs="Arial Unicode MS" w:hAnsi="Calibri"/>
      <w:color w:val="000000"/>
      <w:u w:color="000000"/>
    </w:rPr>
  </w:style>
  <w:style w:type="numbering" w:styleId="Importovanstyl1" w:customStyle="1">
    <w:name w:val="Importovaný styl 1"/>
  </w:style>
  <w:style w:type="numbering" w:styleId="Odrky" w:customStyle="1">
    <w:name w:val="Odrážky"/>
  </w:style>
  <w:style w:type="character" w:styleId="Hyperlink1" w:customStyle="1">
    <w:name w:val="Hyperlink.1"/>
    <w:basedOn w:val="Odkaz"/>
    <w:rPr>
      <w:outline w:val="0"/>
      <w:color w:val="000000"/>
      <w:u w:color="0563c1" w:val="single"/>
    </w:rPr>
  </w:style>
  <w:style w:type="paragraph" w:styleId="Nagwek">
    <w:name w:val="header"/>
    <w:basedOn w:val="Normalny"/>
    <w:link w:val="NagwekZnak"/>
    <w:uiPriority w:val="99"/>
    <w:unhideWhenUsed w:val="1"/>
    <w:rsid w:val="002E160B"/>
    <w:pPr>
      <w:tabs>
        <w:tab w:val="center" w:pos="4536"/>
        <w:tab w:val="right" w:pos="9072"/>
      </w:tabs>
    </w:pPr>
  </w:style>
  <w:style w:type="character" w:styleId="NagwekZnak" w:customStyle="1">
    <w:name w:val="Nagłówek Znak"/>
    <w:basedOn w:val="Domylnaczcionkaakapitu"/>
    <w:link w:val="Nagwek"/>
    <w:uiPriority w:val="99"/>
    <w:rsid w:val="002E160B"/>
    <w:rPr>
      <w:sz w:val="24"/>
      <w:szCs w:val="24"/>
      <w:lang w:eastAsia="en-US" w:val="en-US"/>
    </w:rPr>
  </w:style>
  <w:style w:type="paragraph" w:styleId="Stopka">
    <w:name w:val="footer"/>
    <w:basedOn w:val="Normalny"/>
    <w:link w:val="StopkaZnak"/>
    <w:uiPriority w:val="99"/>
    <w:unhideWhenUsed w:val="1"/>
    <w:rsid w:val="002E160B"/>
    <w:pPr>
      <w:tabs>
        <w:tab w:val="center" w:pos="4536"/>
        <w:tab w:val="right" w:pos="9072"/>
      </w:tabs>
    </w:pPr>
  </w:style>
  <w:style w:type="character" w:styleId="StopkaZnak" w:customStyle="1">
    <w:name w:val="Stopka Znak"/>
    <w:basedOn w:val="Domylnaczcionkaakapitu"/>
    <w:link w:val="Stopka"/>
    <w:uiPriority w:val="99"/>
    <w:rsid w:val="002E160B"/>
    <w:rPr>
      <w:sz w:val="24"/>
      <w:szCs w:val="24"/>
      <w:lang w:eastAsia="en-US" w:val="en-US"/>
    </w:rPr>
  </w:style>
  <w:style w:type="paragraph" w:styleId="BodyA" w:customStyle="1">
    <w:name w:val="Body A"/>
    <w:rsid w:val="00DF523D"/>
    <w:rPr>
      <w:rFonts w:cs="Arial Unicode MS"/>
      <w:color w:val="000000"/>
      <w:u w:color="000000"/>
      <w:lang w:eastAsia="en-US"/>
    </w:rPr>
  </w:style>
  <w:style w:type="character" w:styleId="None" w:customStyle="1">
    <w:name w:val="None"/>
    <w:rsid w:val="00DF523D"/>
  </w:style>
  <w:style w:type="paragraph" w:styleId="NormalnyWeb">
    <w:name w:val="Normal (Web)"/>
    <w:uiPriority w:val="99"/>
    <w:rsid w:val="00DF523D"/>
    <w:pPr>
      <w:spacing w:after="100" w:before="100"/>
    </w:pPr>
    <w:rPr>
      <w:color w:val="000000"/>
      <w:u w:color="000000"/>
      <w:lang w:eastAsia="en-US"/>
    </w:rPr>
  </w:style>
  <w:style w:type="paragraph" w:styleId="TextA" w:customStyle="1">
    <w:name w:val="Text A"/>
    <w:rsid w:val="00F92479"/>
    <w:rPr>
      <w:rFonts w:cs="Arial Unicode MS"/>
      <w:color w:val="000000"/>
      <w:u w:color="000000"/>
      <w14:textOutline w14:cap="flat" w14:cmpd="sng" w14:w="12700" w14:algn="ctr">
        <w14:noFill/>
        <w14:prstDash w14:val="solid"/>
        <w14:miter w14:lim="400000"/>
      </w14:textOutline>
    </w:rPr>
  </w:style>
  <w:style w:type="character" w:styleId="dn" w:customStyle="1">
    <w:name w:val="Žádný"/>
    <w:rsid w:val="00F92479"/>
  </w:style>
  <w:style w:type="numbering" w:styleId="Importovanstyl2" w:customStyle="1">
    <w:name w:val="Importovaný styl 2"/>
    <w:rsid w:val="00A10B47"/>
  </w:style>
  <w:style w:type="paragraph" w:styleId="Vchoz" w:customStyle="1">
    <w:name w:val="Výchozí"/>
    <w:rsid w:val="00036C82"/>
    <w:pPr>
      <w:spacing w:before="160"/>
    </w:pPr>
    <w:rPr>
      <w:rFonts w:ascii="Helvetica Neue" w:cs="Helvetica Neue" w:eastAsia="Helvetica Neue" w:hAnsi="Helvetica Neue"/>
      <w:color w:val="000000"/>
      <w14:textOutline w14:cap="flat" w14:cmpd="sng" w14:algn="ctr">
        <w14:noFill/>
        <w14:prstDash w14:val="solid"/>
        <w14:bevel/>
      </w14:textOutline>
    </w:rPr>
  </w:style>
  <w:style w:type="paragraph" w:styleId="Bezodstpw">
    <w:name w:val="No Spacing"/>
    <w:uiPriority w:val="1"/>
    <w:qFormat w:val="1"/>
    <w:rsid w:val="00036C82"/>
    <w:rPr>
      <w:rFonts w:ascii="Arial" w:cs="Arial" w:eastAsia="Arial" w:hAnsi="Arial"/>
      <w:color w:val="000000"/>
      <w:u w:color="000000"/>
    </w:rPr>
  </w:style>
  <w:style w:type="character" w:styleId="Numerstrony">
    <w:name w:val="page number"/>
    <w:rsid w:val="00036C82"/>
  </w:style>
  <w:style w:type="character" w:styleId="dnA" w:customStyle="1">
    <w:name w:val="Žádný A"/>
    <w:rsid w:val="001D37E6"/>
    <w:rPr>
      <w:lang w:val="en-US"/>
    </w:rPr>
  </w:style>
  <w:style w:type="paragraph" w:styleId="Poprawka">
    <w:name w:val="Revision"/>
    <w:hidden w:val="1"/>
    <w:uiPriority w:val="99"/>
    <w:semiHidden w:val="1"/>
    <w:rsid w:val="002E52F4"/>
    <w:rPr>
      <w:lang w:eastAsia="en-US"/>
    </w:rPr>
  </w:style>
  <w:style w:type="numbering" w:styleId="sla" w:customStyle="1">
    <w:name w:val="Čísla"/>
    <w:rsid w:val="00534C23"/>
  </w:style>
  <w:style w:type="numbering" w:styleId="Odrka" w:customStyle="1">
    <w:name w:val="Odrážka"/>
    <w:rsid w:val="00916DEA"/>
  </w:style>
  <w:style w:type="character" w:styleId="publication" w:customStyle="1">
    <w:name w:val="publication"/>
    <w:basedOn w:val="Domylnaczcionkaakapitu"/>
    <w:rsid w:val="000B6E33"/>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kjablonowska@ra.rockwell.com" TargetMode="External"/><Relationship Id="rId10" Type="http://schemas.openxmlformats.org/officeDocument/2006/relationships/hyperlink" Target="https://www.rockwellautomation.com/en-us/products/hardware/allen-bradley/industrial-computers-monitors/industrial-monitors/6300m.html"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ockwellautomation.com/en-us/products/hardware/allen-bradley/industrial-computers-monitors/industrial-monitors/6300m.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ockwellautomation.com/en-us/products/hardware/allen-bradley/industrial-computers-monitors/industrial-monitors/6300m.html" TargetMode="External"/><Relationship Id="rId8" Type="http://schemas.openxmlformats.org/officeDocument/2006/relationships/hyperlink" Target="https://www.rockwellautomation.com/en-us/products/hardware/allen-bradley/industrial-computers-monitors/industrial-monitors/6300m.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IpT0ZGKnk/ycOUIXBz7P9A5NQ==">AMUW2mUSo7i/+li9vrL8YpmH0SUC1jGnTjNOTtSMkSW+XOQc3QT+xZRPm9IFpN0H0XT/HT6JIMvQCTNLP9DQ3FV84AlFMuB6iqGr5DRmODZcgpeTm3rsxXQ=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2021-07-12T11:50:00Z</dcterms:created>
  <dc:creator>Magda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0x01010074260948434B4344A6387C3BD67D0C3A</vt:lpwstr>
  </property>
</Properties>
</file>